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74" w:rsidRDefault="00D97E74" w:rsidP="00D97E74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noProof/>
          <w:spacing w:val="20"/>
          <w:sz w:val="36"/>
          <w:szCs w:val="40"/>
          <w:lang w:eastAsia="ru-RU"/>
        </w:rPr>
        <w:drawing>
          <wp:anchor distT="0" distB="0" distL="114300" distR="114300" simplePos="0" relativeHeight="251761664" behindDoc="0" locked="0" layoutInCell="1" allowOverlap="1" wp14:anchorId="48D5A664" wp14:editId="475D1CC0">
            <wp:simplePos x="0" y="0"/>
            <wp:positionH relativeFrom="column">
              <wp:posOffset>-245110</wp:posOffset>
            </wp:positionH>
            <wp:positionV relativeFrom="paragraph">
              <wp:posOffset>11537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62" w:rsidRDefault="00D97E74" w:rsidP="008C7762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8"/>
          <w:szCs w:val="38"/>
          <w:lang w:eastAsia="ru-RU"/>
        </w:rPr>
      </w:pPr>
      <w:r w:rsidRPr="008C7762">
        <w:rPr>
          <w:rFonts w:eastAsia="Times New Roman"/>
          <w:b/>
          <w:i/>
          <w:sz w:val="38"/>
          <w:szCs w:val="38"/>
          <w:lang w:eastAsia="ru-RU"/>
        </w:rPr>
        <w:t xml:space="preserve">Соревнования городского округа Самара </w:t>
      </w:r>
    </w:p>
    <w:p w:rsidR="008C7762" w:rsidRPr="008C7762" w:rsidRDefault="00D97E74" w:rsidP="008C7762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8"/>
          <w:szCs w:val="38"/>
          <w:lang w:eastAsia="ru-RU"/>
        </w:rPr>
      </w:pPr>
      <w:r w:rsidRPr="008C7762">
        <w:rPr>
          <w:rFonts w:eastAsia="Times New Roman"/>
          <w:b/>
          <w:i/>
          <w:sz w:val="38"/>
          <w:szCs w:val="38"/>
          <w:lang w:eastAsia="ru-RU"/>
        </w:rPr>
        <w:t>по спортивному туризму</w:t>
      </w:r>
    </w:p>
    <w:p w:rsidR="00D97E74" w:rsidRPr="00D045E7" w:rsidRDefault="00D97E74" w:rsidP="00D97E74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40"/>
          <w:sz w:val="36"/>
          <w:szCs w:val="40"/>
          <w:lang w:eastAsia="ru-RU"/>
        </w:rPr>
      </w:pPr>
      <w:r w:rsidRPr="008C7762">
        <w:rPr>
          <w:rFonts w:eastAsia="Times New Roman"/>
          <w:b/>
          <w:i/>
          <w:sz w:val="38"/>
          <w:szCs w:val="38"/>
          <w:lang w:eastAsia="ru-RU"/>
        </w:rPr>
        <w:t>на пешеходных дистанциях памяти Владимира Михайлова</w:t>
      </w:r>
    </w:p>
    <w:p w:rsidR="00D97E74" w:rsidRPr="008B1684" w:rsidRDefault="00D97E74" w:rsidP="00D97E74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eastAsia="Times New Roman"/>
          <w:b/>
          <w:i/>
          <w:spacing w:val="40"/>
          <w:sz w:val="2"/>
          <w:szCs w:val="2"/>
          <w:lang w:eastAsia="ru-RU"/>
        </w:rPr>
      </w:pPr>
    </w:p>
    <w:p w:rsidR="00D97E74" w:rsidRPr="008B1684" w:rsidRDefault="00D97E74" w:rsidP="00D97E74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2"/>
          <w:szCs w:val="2"/>
          <w:lang w:eastAsia="ru-RU"/>
        </w:rPr>
      </w:pPr>
    </w:p>
    <w:p w:rsidR="00D97E74" w:rsidRPr="008B1684" w:rsidRDefault="00D97E74" w:rsidP="00D97E74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4"/>
          <w:szCs w:val="4"/>
          <w:lang w:eastAsia="ru-RU"/>
        </w:rPr>
      </w:pPr>
    </w:p>
    <w:p w:rsidR="00D97E74" w:rsidRPr="008B1684" w:rsidRDefault="00D97E74" w:rsidP="00D97E74">
      <w:pPr>
        <w:suppressAutoHyphens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1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– 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июня 202</w:t>
      </w:r>
      <w:r>
        <w:rPr>
          <w:rFonts w:eastAsia="Times New Roman"/>
          <w:i/>
          <w:sz w:val="20"/>
          <w:szCs w:val="20"/>
          <w:lang w:eastAsia="ru-RU"/>
        </w:rPr>
        <w:t>4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г.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</w:t>
      </w:r>
      <w:r w:rsidR="008C7762">
        <w:rPr>
          <w:rFonts w:eastAsia="Times New Roman"/>
          <w:i/>
          <w:sz w:val="20"/>
          <w:szCs w:val="20"/>
          <w:lang w:eastAsia="ru-RU"/>
        </w:rPr>
        <w:t xml:space="preserve">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м.р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. Красноярский, с. Малая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Царевщина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D97E74" w:rsidRDefault="00D97E74" w:rsidP="00D97E74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 xml:space="preserve">«ДИСТАНЦИЯ – ПЕШЕХОДНАЯ»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9"/>
        <w:gridCol w:w="7490"/>
      </w:tblGrid>
      <w:tr w:rsidR="0053285D" w:rsidRPr="0074223A" w:rsidTr="0053285D">
        <w:tc>
          <w:tcPr>
            <w:tcW w:w="7489" w:type="dxa"/>
          </w:tcPr>
          <w:p w:rsidR="0053285D" w:rsidRPr="0074223A" w:rsidRDefault="0053285D" w:rsidP="00A520A8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Класс дистанции - </w:t>
            </w:r>
            <w:r w:rsidR="00A52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53285D" w:rsidRPr="0074223A" w:rsidRDefault="0053285D" w:rsidP="00D14329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D14329">
              <w:rPr>
                <w:b/>
                <w:sz w:val="20"/>
                <w:szCs w:val="20"/>
              </w:rPr>
              <w:t>4</w:t>
            </w:r>
          </w:p>
        </w:tc>
      </w:tr>
      <w:tr w:rsidR="0053285D" w:rsidRPr="0074223A" w:rsidTr="0053285D">
        <w:tc>
          <w:tcPr>
            <w:tcW w:w="7489" w:type="dxa"/>
          </w:tcPr>
          <w:p w:rsidR="0053285D" w:rsidRPr="0074223A" w:rsidRDefault="0053285D" w:rsidP="00A520A8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</w:t>
            </w:r>
            <w:r w:rsidR="00D02210" w:rsidRPr="0074223A">
              <w:rPr>
                <w:b/>
                <w:sz w:val="20"/>
                <w:szCs w:val="20"/>
              </w:rPr>
              <w:t xml:space="preserve">– </w:t>
            </w:r>
            <w:r w:rsidR="00C901B4">
              <w:rPr>
                <w:b/>
                <w:sz w:val="20"/>
                <w:szCs w:val="20"/>
              </w:rPr>
              <w:t>указан</w:t>
            </w:r>
            <w:r w:rsidR="00A520A8">
              <w:rPr>
                <w:b/>
                <w:sz w:val="20"/>
                <w:szCs w:val="20"/>
              </w:rPr>
              <w:t>а</w:t>
            </w:r>
            <w:r w:rsidR="00C901B4">
              <w:rPr>
                <w:b/>
                <w:sz w:val="20"/>
                <w:szCs w:val="20"/>
              </w:rPr>
              <w:t xml:space="preserve"> в схеме дистанции</w:t>
            </w:r>
          </w:p>
        </w:tc>
        <w:tc>
          <w:tcPr>
            <w:tcW w:w="7490" w:type="dxa"/>
          </w:tcPr>
          <w:p w:rsidR="0053285D" w:rsidRPr="0074223A" w:rsidRDefault="0053285D" w:rsidP="00A520A8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</w:t>
            </w:r>
            <w:r w:rsidR="001A2781" w:rsidRPr="0074223A">
              <w:rPr>
                <w:b/>
                <w:sz w:val="20"/>
                <w:szCs w:val="20"/>
              </w:rPr>
              <w:t>–</w:t>
            </w:r>
            <w:r w:rsidR="00C901B4">
              <w:rPr>
                <w:b/>
                <w:sz w:val="20"/>
                <w:szCs w:val="20"/>
              </w:rPr>
              <w:t>указано в схеме дистанции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Default="00A4377B" w:rsidP="0053285D">
      <w:pPr>
        <w:ind w:left="360" w:firstLine="0"/>
        <w:rPr>
          <w:sz w:val="20"/>
          <w:szCs w:val="20"/>
        </w:rPr>
      </w:pPr>
      <w:r w:rsidRPr="0074223A">
        <w:rPr>
          <w:sz w:val="20"/>
          <w:szCs w:val="20"/>
        </w:rPr>
        <w:t>Порядок работы с отмет</w:t>
      </w:r>
      <w:r w:rsidR="00A16BDC">
        <w:rPr>
          <w:sz w:val="20"/>
          <w:szCs w:val="20"/>
        </w:rPr>
        <w:t>кой на дистанции указан в схеме дистанции.</w:t>
      </w:r>
    </w:p>
    <w:p w:rsidR="00871167" w:rsidRDefault="00871167" w:rsidP="0053285D">
      <w:pPr>
        <w:ind w:left="360" w:firstLine="0"/>
        <w:rPr>
          <w:sz w:val="20"/>
          <w:szCs w:val="20"/>
        </w:rPr>
      </w:pPr>
    </w:p>
    <w:p w:rsidR="00871167" w:rsidRPr="00D97E74" w:rsidRDefault="00D97E74" w:rsidP="0053285D">
      <w:pPr>
        <w:ind w:left="360" w:firstLine="0"/>
        <w:rPr>
          <w:b/>
          <w:sz w:val="20"/>
          <w:szCs w:val="20"/>
        </w:rPr>
      </w:pPr>
      <w:r w:rsidRPr="00D97E74">
        <w:rPr>
          <w:b/>
          <w:sz w:val="24"/>
          <w:szCs w:val="20"/>
        </w:rPr>
        <w:t xml:space="preserve">Участники </w:t>
      </w:r>
      <w:r>
        <w:rPr>
          <w:b/>
          <w:sz w:val="24"/>
          <w:szCs w:val="20"/>
        </w:rPr>
        <w:t xml:space="preserve">преодолевают </w:t>
      </w:r>
      <w:r w:rsidR="008C7762">
        <w:rPr>
          <w:b/>
          <w:sz w:val="24"/>
          <w:szCs w:val="20"/>
        </w:rPr>
        <w:t>дистанцию</w:t>
      </w:r>
      <w:r>
        <w:rPr>
          <w:b/>
          <w:sz w:val="24"/>
          <w:szCs w:val="20"/>
        </w:rPr>
        <w:t xml:space="preserve"> без </w:t>
      </w:r>
      <w:r w:rsidR="008C7762">
        <w:rPr>
          <w:b/>
          <w:sz w:val="24"/>
          <w:szCs w:val="20"/>
        </w:rPr>
        <w:t>обеспечения</w:t>
      </w:r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самостраховки</w:t>
      </w:r>
      <w:proofErr w:type="spellEnd"/>
      <w:r w:rsidR="008C7762">
        <w:rPr>
          <w:b/>
          <w:sz w:val="24"/>
          <w:szCs w:val="20"/>
        </w:rPr>
        <w:t>, только</w:t>
      </w:r>
      <w:r>
        <w:rPr>
          <w:b/>
          <w:sz w:val="24"/>
          <w:szCs w:val="20"/>
        </w:rPr>
        <w:t xml:space="preserve"> с опорой на перила. </w:t>
      </w:r>
      <w:r w:rsidR="008C7762">
        <w:rPr>
          <w:b/>
          <w:sz w:val="24"/>
          <w:szCs w:val="20"/>
        </w:rPr>
        <w:t>Стра</w:t>
      </w:r>
      <w:r w:rsidR="003D57E5">
        <w:rPr>
          <w:b/>
          <w:sz w:val="24"/>
          <w:szCs w:val="20"/>
        </w:rPr>
        <w:t>ховочная система для прохождения</w:t>
      </w:r>
      <w:r w:rsidR="008C7762">
        <w:rPr>
          <w:b/>
          <w:sz w:val="24"/>
          <w:szCs w:val="20"/>
        </w:rPr>
        <w:t xml:space="preserve"> дистанции не используется, наличие каски и перчаток обязательно.  </w:t>
      </w:r>
    </w:p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</w:p>
    <w:p w:rsidR="003172A6" w:rsidRPr="0074223A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>ПЕРЕЧЕНЬ ЭТАПОВ, ПАРАМЕТРЫ, ОБОРУДОВАНИЕ И УСЛОВИЯ ПРОХОЖДЕНИЯ</w:t>
      </w:r>
    </w:p>
    <w:p w:rsidR="003172A6" w:rsidRPr="0074223A" w:rsidRDefault="003172A6" w:rsidP="003172A6">
      <w:pPr>
        <w:jc w:val="both"/>
        <w:rPr>
          <w:b/>
          <w:sz w:val="20"/>
          <w:szCs w:val="20"/>
          <w:u w:val="single"/>
        </w:rPr>
      </w:pPr>
    </w:p>
    <w:p w:rsidR="003172A6" w:rsidRPr="0074223A" w:rsidRDefault="003172A6" w:rsidP="003172A6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A92C53" w:rsidRDefault="00A92C53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871167" w:rsidRPr="0074223A" w:rsidTr="004210B8">
        <w:trPr>
          <w:trHeight w:val="279"/>
        </w:trPr>
        <w:tc>
          <w:tcPr>
            <w:tcW w:w="14969" w:type="dxa"/>
          </w:tcPr>
          <w:p w:rsidR="00871167" w:rsidRPr="0074223A" w:rsidRDefault="00871167" w:rsidP="004210B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1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Переправа по бревну </w:t>
            </w:r>
            <w:r w:rsidRPr="0074223A">
              <w:rPr>
                <w:sz w:val="20"/>
                <w:szCs w:val="20"/>
                <w:u w:val="single"/>
              </w:rPr>
              <w:t>ТО1→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-2.</w:t>
            </w:r>
            <w:r>
              <w:rPr>
                <w:b/>
                <w:sz w:val="20"/>
                <w:szCs w:val="20"/>
                <w:u w:val="single"/>
              </w:rPr>
              <w:t xml:space="preserve">     КВ 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871167" w:rsidRPr="0074223A" w:rsidTr="004210B8">
        <w:trPr>
          <w:trHeight w:val="2374"/>
        </w:trPr>
        <w:tc>
          <w:tcPr>
            <w:tcW w:w="14969" w:type="dxa"/>
          </w:tcPr>
          <w:p w:rsidR="00871167" w:rsidRPr="0074223A" w:rsidRDefault="003D57E5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217B8">
              <w:rPr>
                <w:i/>
                <w:sz w:val="20"/>
                <w:szCs w:val="20"/>
                <w:u w:val="single"/>
              </w:rPr>
              <w:drawing>
                <wp:anchor distT="0" distB="0" distL="114300" distR="114300" simplePos="0" relativeHeight="251763712" behindDoc="0" locked="0" layoutInCell="1" allowOverlap="1" wp14:anchorId="4E76BAEC" wp14:editId="3BEDC022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61595</wp:posOffset>
                  </wp:positionV>
                  <wp:extent cx="3933825" cy="1344194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34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167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871167" w:rsidRPr="0074223A">
              <w:rPr>
                <w:i/>
                <w:sz w:val="20"/>
                <w:szCs w:val="20"/>
              </w:rPr>
              <w:t xml:space="preserve"> </w:t>
            </w:r>
          </w:p>
          <w:p w:rsidR="00871167" w:rsidRDefault="00871167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871167" w:rsidRPr="0074223A" w:rsidRDefault="00871167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871167" w:rsidRPr="0074223A" w:rsidRDefault="00871167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4223A">
              <w:rPr>
                <w:sz w:val="20"/>
                <w:szCs w:val="20"/>
              </w:rPr>
              <w:t>ТО1 - горизонтальная опора</w:t>
            </w:r>
          </w:p>
          <w:p w:rsidR="00871167" w:rsidRPr="0074223A" w:rsidRDefault="00871167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</w:t>
            </w:r>
            <w:r w:rsidR="00D97E74">
              <w:rPr>
                <w:sz w:val="20"/>
                <w:szCs w:val="20"/>
              </w:rPr>
              <w:t>19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871167" w:rsidRPr="0074223A" w:rsidRDefault="00871167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</w:t>
            </w:r>
            <w:r w:rsidR="00D97E74">
              <w:rPr>
                <w:sz w:val="20"/>
                <w:szCs w:val="20"/>
              </w:rPr>
              <w:t>19</w:t>
            </w:r>
            <w:r w:rsidRPr="0074223A">
              <w:rPr>
                <w:sz w:val="20"/>
                <w:szCs w:val="20"/>
              </w:rPr>
              <w:t>.</w:t>
            </w:r>
          </w:p>
          <w:p w:rsidR="00871167" w:rsidRPr="0074223A" w:rsidRDefault="00871167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871167" w:rsidRDefault="00871167" w:rsidP="004210B8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871167" w:rsidRPr="0074223A" w:rsidRDefault="00871167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  <w:bookmarkStart w:id="0" w:name="_GoBack"/>
        <w:bookmarkEnd w:id="0"/>
      </w:tr>
    </w:tbl>
    <w:p w:rsidR="00FE74D4" w:rsidRDefault="00FE74D4" w:rsidP="003172A6">
      <w:pPr>
        <w:jc w:val="both"/>
        <w:rPr>
          <w:b/>
          <w:sz w:val="20"/>
          <w:szCs w:val="20"/>
          <w:u w:val="single"/>
        </w:rPr>
      </w:pPr>
    </w:p>
    <w:p w:rsidR="00871167" w:rsidRDefault="00871167" w:rsidP="003172A6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105CC" w:rsidRPr="0074223A" w:rsidTr="008F766C">
        <w:trPr>
          <w:trHeight w:val="474"/>
        </w:trPr>
        <w:tc>
          <w:tcPr>
            <w:tcW w:w="14969" w:type="dxa"/>
          </w:tcPr>
          <w:p w:rsidR="00B105CC" w:rsidRPr="0074223A" w:rsidRDefault="00B105CC" w:rsidP="00871167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71167">
              <w:rPr>
                <w:b/>
                <w:sz w:val="20"/>
                <w:szCs w:val="20"/>
                <w:u w:val="single" w:color="000000"/>
              </w:rPr>
              <w:t>2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Подъем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по склону. </w:t>
            </w:r>
            <w:r>
              <w:rPr>
                <w:sz w:val="20"/>
                <w:szCs w:val="20"/>
                <w:u w:val="single"/>
              </w:rPr>
              <w:t>БЗ1</w:t>
            </w:r>
            <w:r w:rsidRPr="0074223A">
              <w:rPr>
                <w:sz w:val="20"/>
                <w:szCs w:val="20"/>
                <w:u w:val="single"/>
              </w:rPr>
              <w:t>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871167"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B105CC" w:rsidRPr="0074223A" w:rsidTr="008F766C">
        <w:trPr>
          <w:trHeight w:val="3351"/>
        </w:trPr>
        <w:tc>
          <w:tcPr>
            <w:tcW w:w="14969" w:type="dxa"/>
          </w:tcPr>
          <w:p w:rsidR="00B105CC" w:rsidRPr="0074223A" w:rsidRDefault="00871167" w:rsidP="008F766C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80244F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6B5EF524" wp14:editId="34EF43AA">
                  <wp:simplePos x="0" y="0"/>
                  <wp:positionH relativeFrom="column">
                    <wp:posOffset>5070129</wp:posOffset>
                  </wp:positionH>
                  <wp:positionV relativeFrom="paragraph">
                    <wp:posOffset>36451</wp:posOffset>
                  </wp:positionV>
                  <wp:extent cx="2676732" cy="2183476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32" cy="218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5CC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105CC" w:rsidRPr="0074223A">
              <w:rPr>
                <w:i/>
                <w:sz w:val="20"/>
                <w:szCs w:val="20"/>
              </w:rPr>
              <w:t xml:space="preserve"> </w:t>
            </w:r>
          </w:p>
          <w:p w:rsidR="00B105CC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БЗ-1, КЛ – начало ОЗ.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</w:t>
            </w:r>
            <w:r>
              <w:rPr>
                <w:sz w:val="20"/>
                <w:szCs w:val="20"/>
              </w:rPr>
              <w:t xml:space="preserve">, </w:t>
            </w:r>
            <w:r w:rsidRPr="0074223A">
              <w:rPr>
                <w:sz w:val="20"/>
                <w:szCs w:val="20"/>
              </w:rPr>
              <w:t>ТО – 2 карабина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</w:t>
            </w:r>
            <w:r w:rsidR="00871167"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>.</w:t>
            </w:r>
          </w:p>
          <w:p w:rsidR="00B105CC" w:rsidRPr="0074223A" w:rsidRDefault="00B105CC" w:rsidP="008F766C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="00931D3A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П</w:t>
            </w:r>
            <w:r w:rsidRPr="0074223A">
              <w:rPr>
                <w:sz w:val="20"/>
                <w:szCs w:val="20"/>
              </w:rPr>
              <w:t>о п.7.1</w:t>
            </w:r>
            <w:r w:rsidR="00871167">
              <w:rPr>
                <w:sz w:val="20"/>
                <w:szCs w:val="20"/>
              </w:rPr>
              <w:t>7</w:t>
            </w:r>
            <w:r w:rsidR="008C7762">
              <w:rPr>
                <w:sz w:val="20"/>
                <w:szCs w:val="20"/>
              </w:rPr>
              <w:t>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871167" w:rsidRDefault="00871167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871167" w:rsidRDefault="00871167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A9633E" w:rsidRDefault="00A9633E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B105CC" w:rsidRPr="0074223A" w:rsidRDefault="00B105CC" w:rsidP="008F766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65D18" w:rsidRDefault="00065D18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0D673D" w:rsidRPr="00A925D1" w:rsidTr="008F766C">
        <w:trPr>
          <w:trHeight w:val="58"/>
        </w:trPr>
        <w:tc>
          <w:tcPr>
            <w:tcW w:w="14969" w:type="dxa"/>
          </w:tcPr>
          <w:p w:rsidR="000D673D" w:rsidRPr="00A925D1" w:rsidRDefault="000D673D" w:rsidP="00871167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871167">
              <w:rPr>
                <w:b/>
                <w:sz w:val="20"/>
                <w:szCs w:val="20"/>
                <w:u w:val="single"/>
              </w:rPr>
              <w:t>3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. Переправа по параллельным перилам. </w:t>
            </w:r>
            <w:r w:rsidRPr="00A925D1">
              <w:rPr>
                <w:sz w:val="20"/>
                <w:szCs w:val="20"/>
                <w:u w:val="single"/>
              </w:rPr>
              <w:t xml:space="preserve">ТО1 →ТО2 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 КВ –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0D673D" w:rsidRPr="00A925D1" w:rsidTr="008F766C">
        <w:trPr>
          <w:trHeight w:val="3351"/>
        </w:trPr>
        <w:tc>
          <w:tcPr>
            <w:tcW w:w="14969" w:type="dxa"/>
          </w:tcPr>
          <w:p w:rsidR="000D673D" w:rsidRPr="00A925D1" w:rsidRDefault="00D97E74" w:rsidP="008F766C">
            <w:pPr>
              <w:rPr>
                <w:i/>
                <w:sz w:val="20"/>
                <w:szCs w:val="20"/>
                <w:u w:val="single"/>
              </w:rPr>
            </w:pPr>
            <w:r w:rsidRPr="00D97E7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4884329</wp:posOffset>
                  </wp:positionH>
                  <wp:positionV relativeFrom="paragraph">
                    <wp:posOffset>141292</wp:posOffset>
                  </wp:positionV>
                  <wp:extent cx="3382645" cy="1848485"/>
                  <wp:effectExtent l="0" t="0" r="825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645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73D" w:rsidRPr="00A925D1">
              <w:rPr>
                <w:i/>
                <w:sz w:val="20"/>
                <w:szCs w:val="20"/>
                <w:u w:val="single"/>
              </w:rPr>
              <w:t xml:space="preserve">Оборудование: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ИС: БЗ-1, КЛ – начало ОЗ,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ТО1 – вертикальная опора.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Верхние судейские перила – </w:t>
            </w:r>
            <w:r w:rsidR="008C7762">
              <w:rPr>
                <w:sz w:val="20"/>
                <w:szCs w:val="20"/>
              </w:rPr>
              <w:t>двойная</w:t>
            </w:r>
            <w:r w:rsidRPr="00A925D1">
              <w:rPr>
                <w:sz w:val="20"/>
                <w:szCs w:val="20"/>
              </w:rPr>
              <w:t xml:space="preserve"> веревка.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Нижние судейские перила – </w:t>
            </w:r>
            <w:proofErr w:type="spellStart"/>
            <w:r w:rsidRPr="00A925D1">
              <w:rPr>
                <w:sz w:val="20"/>
                <w:szCs w:val="20"/>
              </w:rPr>
              <w:t>слэклайн</w:t>
            </w:r>
            <w:proofErr w:type="spellEnd"/>
            <w:r w:rsidRPr="00A925D1">
              <w:rPr>
                <w:sz w:val="20"/>
                <w:szCs w:val="20"/>
              </w:rPr>
              <w:t xml:space="preserve">.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ЦС: БЗ-2, КЛ – окончание ОЗ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ТО2 – вертикальная опора </w:t>
            </w:r>
          </w:p>
          <w:p w:rsidR="000D673D" w:rsidRPr="00A925D1" w:rsidRDefault="000D673D" w:rsidP="008F766C">
            <w:pPr>
              <w:rPr>
                <w:sz w:val="20"/>
                <w:szCs w:val="20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Действия</w:t>
            </w:r>
            <w:r w:rsidRPr="00A925D1">
              <w:rPr>
                <w:sz w:val="20"/>
                <w:szCs w:val="20"/>
              </w:rPr>
              <w:t>: Движение по п.7.</w:t>
            </w:r>
            <w:r w:rsidR="00871167">
              <w:rPr>
                <w:sz w:val="20"/>
                <w:szCs w:val="20"/>
              </w:rPr>
              <w:t>19</w:t>
            </w:r>
            <w:r w:rsidRPr="00A925D1">
              <w:rPr>
                <w:sz w:val="20"/>
                <w:szCs w:val="20"/>
              </w:rPr>
              <w:t xml:space="preserve">. </w:t>
            </w:r>
          </w:p>
          <w:p w:rsidR="000D673D" w:rsidRPr="00A925D1" w:rsidRDefault="000D673D" w:rsidP="008F766C">
            <w:pPr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A925D1">
              <w:rPr>
                <w:sz w:val="20"/>
                <w:szCs w:val="20"/>
              </w:rPr>
              <w:t>: По п.7.</w:t>
            </w:r>
            <w:r w:rsidR="00871167">
              <w:rPr>
                <w:sz w:val="20"/>
                <w:szCs w:val="20"/>
              </w:rPr>
              <w:t>19</w:t>
            </w:r>
            <w:r w:rsidRPr="00A925D1">
              <w:rPr>
                <w:sz w:val="20"/>
                <w:szCs w:val="20"/>
              </w:rPr>
              <w:t>.</w:t>
            </w:r>
          </w:p>
          <w:p w:rsidR="000D673D" w:rsidRPr="00A925D1" w:rsidRDefault="000D673D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D673D" w:rsidRPr="00A925D1" w:rsidRDefault="000D673D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0D673D" w:rsidRPr="00A925D1" w:rsidRDefault="000D673D" w:rsidP="008F766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16BDC" w:rsidRDefault="00A16BDC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A16BDC" w:rsidRDefault="00A16BDC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71167" w:rsidRDefault="00871167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A16BDC" w:rsidRDefault="00A16BDC" w:rsidP="007775F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E87579" w:rsidRPr="0074223A" w:rsidTr="003C0F1C">
        <w:trPr>
          <w:trHeight w:val="474"/>
        </w:trPr>
        <w:tc>
          <w:tcPr>
            <w:tcW w:w="14969" w:type="dxa"/>
          </w:tcPr>
          <w:p w:rsidR="00E87579" w:rsidRPr="0074223A" w:rsidRDefault="00E87579" w:rsidP="00871167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71167"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0D673D"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87579" w:rsidRPr="0074223A" w:rsidTr="00C901B4">
        <w:trPr>
          <w:trHeight w:val="3351"/>
        </w:trPr>
        <w:tc>
          <w:tcPr>
            <w:tcW w:w="14969" w:type="dxa"/>
          </w:tcPr>
          <w:p w:rsidR="00E87579" w:rsidRPr="0074223A" w:rsidRDefault="00871167" w:rsidP="00E8757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C53BB5">
              <w:rPr>
                <w:i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0EA82739" wp14:editId="63F56B34">
                  <wp:simplePos x="0" y="0"/>
                  <wp:positionH relativeFrom="column">
                    <wp:posOffset>5062748</wp:posOffset>
                  </wp:positionH>
                  <wp:positionV relativeFrom="paragraph">
                    <wp:posOffset>50041</wp:posOffset>
                  </wp:positionV>
                  <wp:extent cx="3223062" cy="2456017"/>
                  <wp:effectExtent l="0" t="0" r="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931" cy="245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79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87579" w:rsidRPr="0074223A">
              <w:rPr>
                <w:i/>
                <w:sz w:val="20"/>
                <w:szCs w:val="20"/>
              </w:rPr>
              <w:t xml:space="preserve"> 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</w:t>
            </w:r>
            <w:r w:rsidR="00015C1B" w:rsidRPr="0074223A">
              <w:rPr>
                <w:sz w:val="20"/>
                <w:szCs w:val="20"/>
              </w:rPr>
              <w:t>–</w:t>
            </w:r>
            <w:r w:rsidRPr="0074223A">
              <w:rPr>
                <w:sz w:val="20"/>
                <w:szCs w:val="20"/>
              </w:rPr>
              <w:t xml:space="preserve"> </w:t>
            </w:r>
            <w:r w:rsidR="000D673D">
              <w:rPr>
                <w:sz w:val="20"/>
                <w:szCs w:val="20"/>
              </w:rPr>
              <w:t>судейский накопитель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931D3A" w:rsidRPr="0074223A" w:rsidRDefault="00931D3A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E87579" w:rsidRDefault="00E87579" w:rsidP="00E8757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</w:t>
            </w:r>
            <w:r w:rsidR="00871167">
              <w:rPr>
                <w:sz w:val="20"/>
                <w:szCs w:val="20"/>
              </w:rPr>
              <w:t>7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015C1B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</w:t>
            </w:r>
            <w:r w:rsidR="00015C1B" w:rsidRPr="0074223A">
              <w:rPr>
                <w:sz w:val="20"/>
                <w:szCs w:val="20"/>
              </w:rPr>
              <w:t>по п.7.1</w:t>
            </w:r>
            <w:r w:rsidR="00871167">
              <w:rPr>
                <w:sz w:val="20"/>
                <w:szCs w:val="20"/>
              </w:rPr>
              <w:t>8</w:t>
            </w:r>
            <w:r w:rsidR="00015C1B" w:rsidRPr="0074223A">
              <w:rPr>
                <w:sz w:val="20"/>
                <w:szCs w:val="20"/>
              </w:rPr>
              <w:t xml:space="preserve"> </w:t>
            </w:r>
          </w:p>
          <w:p w:rsidR="00E87579" w:rsidRPr="0074223A" w:rsidRDefault="00E87579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931D3A" w:rsidRPr="0074223A" w:rsidRDefault="00931D3A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B105C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74223A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534F33" w:rsidRPr="0074223A" w:rsidRDefault="00534F33" w:rsidP="00534F33">
      <w:pPr>
        <w:jc w:val="both"/>
        <w:rPr>
          <w:i/>
          <w:noProof/>
          <w:sz w:val="20"/>
          <w:szCs w:val="20"/>
          <w:lang w:eastAsia="ru-RU"/>
        </w:rPr>
      </w:pPr>
    </w:p>
    <w:p w:rsidR="00880428" w:rsidRPr="0074223A" w:rsidRDefault="00880428" w:rsidP="00260862">
      <w:pPr>
        <w:jc w:val="both"/>
        <w:rPr>
          <w:i/>
          <w:sz w:val="20"/>
          <w:szCs w:val="20"/>
        </w:rPr>
      </w:pPr>
    </w:p>
    <w:p w:rsidR="00EE501E" w:rsidRPr="0074223A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774AE6" w:rsidRPr="0074223A" w:rsidRDefault="00774AE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p w:rsidR="00392D56" w:rsidRPr="0074223A" w:rsidRDefault="00392D56" w:rsidP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p w:rsidR="00EE501E" w:rsidRPr="00015C1B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sectPr w:rsidR="00EE501E" w:rsidRPr="00015C1B" w:rsidSect="00871167">
      <w:headerReference w:type="default" r:id="rId13"/>
      <w:pgSz w:w="16838" w:h="11906" w:orient="landscape"/>
      <w:pgMar w:top="563" w:right="856" w:bottom="426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D" w:rsidRDefault="00F06E5D" w:rsidP="00BC2A59">
      <w:pPr>
        <w:spacing w:after="0" w:line="240" w:lineRule="auto"/>
      </w:pPr>
      <w:r>
        <w:separator/>
      </w:r>
    </w:p>
  </w:endnote>
  <w:endnote w:type="continuationSeparator" w:id="0">
    <w:p w:rsidR="00F06E5D" w:rsidRDefault="00F06E5D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D" w:rsidRDefault="00F06E5D" w:rsidP="00BC2A59">
      <w:pPr>
        <w:spacing w:after="0" w:line="240" w:lineRule="auto"/>
      </w:pPr>
      <w:r>
        <w:separator/>
      </w:r>
    </w:p>
  </w:footnote>
  <w:footnote w:type="continuationSeparator" w:id="0">
    <w:p w:rsidR="00F06E5D" w:rsidRDefault="00F06E5D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4" w:rsidRPr="0053285D" w:rsidRDefault="00C901B4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7"/>
    <w:rsid w:val="00006A67"/>
    <w:rsid w:val="00015C1B"/>
    <w:rsid w:val="00034304"/>
    <w:rsid w:val="00044DEE"/>
    <w:rsid w:val="00065D18"/>
    <w:rsid w:val="00074436"/>
    <w:rsid w:val="00087FAD"/>
    <w:rsid w:val="000A1FF7"/>
    <w:rsid w:val="000B1000"/>
    <w:rsid w:val="000D673D"/>
    <w:rsid w:val="000E17EB"/>
    <w:rsid w:val="00182CAA"/>
    <w:rsid w:val="001937DC"/>
    <w:rsid w:val="00195459"/>
    <w:rsid w:val="001A2781"/>
    <w:rsid w:val="001C1098"/>
    <w:rsid w:val="001C2A0B"/>
    <w:rsid w:val="001D3CE0"/>
    <w:rsid w:val="001D6A97"/>
    <w:rsid w:val="001F3189"/>
    <w:rsid w:val="00260862"/>
    <w:rsid w:val="002A3C1D"/>
    <w:rsid w:val="002D3E6B"/>
    <w:rsid w:val="002F598C"/>
    <w:rsid w:val="003172A6"/>
    <w:rsid w:val="0036248F"/>
    <w:rsid w:val="003863DF"/>
    <w:rsid w:val="00392D56"/>
    <w:rsid w:val="003A4E63"/>
    <w:rsid w:val="003B285F"/>
    <w:rsid w:val="003C0F1C"/>
    <w:rsid w:val="003C4283"/>
    <w:rsid w:val="003D57E5"/>
    <w:rsid w:val="003D5FD6"/>
    <w:rsid w:val="00414902"/>
    <w:rsid w:val="004401DE"/>
    <w:rsid w:val="00440A6B"/>
    <w:rsid w:val="00462794"/>
    <w:rsid w:val="004777BF"/>
    <w:rsid w:val="00481D93"/>
    <w:rsid w:val="004842AF"/>
    <w:rsid w:val="00495455"/>
    <w:rsid w:val="004A280B"/>
    <w:rsid w:val="004A3DE7"/>
    <w:rsid w:val="004D5BA4"/>
    <w:rsid w:val="00527202"/>
    <w:rsid w:val="0053285D"/>
    <w:rsid w:val="00534F33"/>
    <w:rsid w:val="00540094"/>
    <w:rsid w:val="0054416F"/>
    <w:rsid w:val="00557AD7"/>
    <w:rsid w:val="00565082"/>
    <w:rsid w:val="0057254D"/>
    <w:rsid w:val="0058606E"/>
    <w:rsid w:val="005A3D33"/>
    <w:rsid w:val="005A47A6"/>
    <w:rsid w:val="005C705D"/>
    <w:rsid w:val="006118DA"/>
    <w:rsid w:val="00632AB5"/>
    <w:rsid w:val="00693802"/>
    <w:rsid w:val="006A5C57"/>
    <w:rsid w:val="006C0805"/>
    <w:rsid w:val="006D4508"/>
    <w:rsid w:val="00702986"/>
    <w:rsid w:val="0071071A"/>
    <w:rsid w:val="00730188"/>
    <w:rsid w:val="0074223A"/>
    <w:rsid w:val="00750868"/>
    <w:rsid w:val="00774AE6"/>
    <w:rsid w:val="007775F4"/>
    <w:rsid w:val="007905B6"/>
    <w:rsid w:val="007C2861"/>
    <w:rsid w:val="008158E1"/>
    <w:rsid w:val="0082576C"/>
    <w:rsid w:val="00830C2E"/>
    <w:rsid w:val="00843A45"/>
    <w:rsid w:val="00853890"/>
    <w:rsid w:val="00871167"/>
    <w:rsid w:val="00880428"/>
    <w:rsid w:val="00885237"/>
    <w:rsid w:val="00885735"/>
    <w:rsid w:val="008A0690"/>
    <w:rsid w:val="008B3CC3"/>
    <w:rsid w:val="008B6016"/>
    <w:rsid w:val="008C0794"/>
    <w:rsid w:val="008C7762"/>
    <w:rsid w:val="008D3F61"/>
    <w:rsid w:val="008F7C03"/>
    <w:rsid w:val="00931D3A"/>
    <w:rsid w:val="00992DB7"/>
    <w:rsid w:val="009B4530"/>
    <w:rsid w:val="009D4690"/>
    <w:rsid w:val="009E0FE6"/>
    <w:rsid w:val="009F42F6"/>
    <w:rsid w:val="00A0611F"/>
    <w:rsid w:val="00A16BDC"/>
    <w:rsid w:val="00A241C9"/>
    <w:rsid w:val="00A41D45"/>
    <w:rsid w:val="00A4377B"/>
    <w:rsid w:val="00A520A8"/>
    <w:rsid w:val="00A57ED9"/>
    <w:rsid w:val="00A602BD"/>
    <w:rsid w:val="00A6403D"/>
    <w:rsid w:val="00A66FBD"/>
    <w:rsid w:val="00A724B1"/>
    <w:rsid w:val="00A80F2D"/>
    <w:rsid w:val="00A91460"/>
    <w:rsid w:val="00A92C53"/>
    <w:rsid w:val="00A9633E"/>
    <w:rsid w:val="00AC29F8"/>
    <w:rsid w:val="00AD3B4F"/>
    <w:rsid w:val="00B105CC"/>
    <w:rsid w:val="00B12713"/>
    <w:rsid w:val="00B40CEC"/>
    <w:rsid w:val="00B72B17"/>
    <w:rsid w:val="00B77AC8"/>
    <w:rsid w:val="00B837C5"/>
    <w:rsid w:val="00B906C7"/>
    <w:rsid w:val="00BA3CA8"/>
    <w:rsid w:val="00BC2A59"/>
    <w:rsid w:val="00BE2DF7"/>
    <w:rsid w:val="00BE4A0C"/>
    <w:rsid w:val="00BF6653"/>
    <w:rsid w:val="00C00551"/>
    <w:rsid w:val="00C03198"/>
    <w:rsid w:val="00C10DA7"/>
    <w:rsid w:val="00C22A2D"/>
    <w:rsid w:val="00C642DB"/>
    <w:rsid w:val="00C8636B"/>
    <w:rsid w:val="00C90190"/>
    <w:rsid w:val="00C901B4"/>
    <w:rsid w:val="00CA1EE0"/>
    <w:rsid w:val="00CA75C5"/>
    <w:rsid w:val="00CC34FA"/>
    <w:rsid w:val="00CD2A1E"/>
    <w:rsid w:val="00CD31F2"/>
    <w:rsid w:val="00CF241B"/>
    <w:rsid w:val="00D02210"/>
    <w:rsid w:val="00D14329"/>
    <w:rsid w:val="00D33314"/>
    <w:rsid w:val="00D97E74"/>
    <w:rsid w:val="00DA678A"/>
    <w:rsid w:val="00E0614B"/>
    <w:rsid w:val="00E44EB2"/>
    <w:rsid w:val="00E87579"/>
    <w:rsid w:val="00E95117"/>
    <w:rsid w:val="00EB158B"/>
    <w:rsid w:val="00EC6F6B"/>
    <w:rsid w:val="00ED3375"/>
    <w:rsid w:val="00ED60D7"/>
    <w:rsid w:val="00EE501E"/>
    <w:rsid w:val="00F04390"/>
    <w:rsid w:val="00F06E5D"/>
    <w:rsid w:val="00F57C0D"/>
    <w:rsid w:val="00F71BDF"/>
    <w:rsid w:val="00F80698"/>
    <w:rsid w:val="00F81B5D"/>
    <w:rsid w:val="00F8273F"/>
    <w:rsid w:val="00F8508F"/>
    <w:rsid w:val="00FA615F"/>
    <w:rsid w:val="00FA7CB9"/>
    <w:rsid w:val="00FC23B2"/>
    <w:rsid w:val="00FD296C"/>
    <w:rsid w:val="00FE5F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E7610D-3C1A-4A35-9105-7208BAB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91DA-9FC7-4DEA-9565-E2526B7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2251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3</cp:revision>
  <cp:lastPrinted>1900-12-31T20:00:00Z</cp:lastPrinted>
  <dcterms:created xsi:type="dcterms:W3CDTF">2024-05-26T22:13:00Z</dcterms:created>
  <dcterms:modified xsi:type="dcterms:W3CDTF">2024-05-27T09:21:00Z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